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60" w:type="dxa"/>
        <w:jc w:val="start"/>
        <w:tblInd w:w="98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607"/>
        <w:gridCol w:w="7050"/>
        <w:gridCol w:w="1020"/>
        <w:gridCol w:w="183"/>
      </w:tblGrid>
      <w:tr>
        <w:trPr>
          <w:trHeight w:val="720" w:hRule="atLeast"/>
        </w:trPr>
        <w:tc>
          <w:tcPr>
            <w:tcW w:w="2607" w:type="dxa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sz w:val="36"/>
                <w:szCs w:val="36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 xml:space="preserve">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>STERKE VROUWEN</w:t>
            </w:r>
          </w:p>
        </w:tc>
        <w:tc>
          <w:tcPr>
            <w:tcW w:w="705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8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MOLENAAR.M.</w:t>
            </w:r>
          </w:p>
        </w:tc>
        <w:tc>
          <w:tcPr>
            <w:tcW w:w="705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Geertrui van Helfta – deel I : Inleiding en 3 eerste boeken van de heraut  van de goddelijke liefde 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 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MOLENAAR. M.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Geertrui van Helfta  - deel II – boek 4 en 5</w:t>
              <w:br/>
              <w:t>van de heraut der goddelijke liefde +7 geestelijke oefeningen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MOLENAAR, M.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Geertrui van Helfta (1955)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7,00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CONSTANZO, M.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Mechtild van Maagdenburg : het vloeiende der godheid (1957)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CONSTANZO, M.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Mechtild van Hackeborn – Het boek der bijzondere genade – 1958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BROMBERG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Mechtild van Hackeborn – Het boek der bijzondere genade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PRIORIJ, Regina Pacis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Als de graankorrel … oudste biografische documenten van M. Mechtildis van het Heilig Sacrament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/>
                <w:color w:val="000000"/>
                <w:lang w:eastAsia="nl-BE"/>
              </w:rPr>
              <w:t>12,00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PENNING-DE VRIES P.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Mechtildis van het H. Sacrament (Catherine de Bar) De ware Geest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VROMEN, P.DE VRIES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Regel van S.Benediktus en Konstituties van Mechtildis van het H.Sakrament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VEKEMAN, Herman 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Ida van Leuven (1211-1290)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€</w:t>
            </w:r>
            <w:r>
              <w:rPr/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BRUGMAN, JOHANNES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Het leven der Heilige Lidwina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STOLK, P.J.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 maagd van Schiedam : een kritische hagiografie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HENDRIX, Guido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Beatrijs van Nazareth – iconografie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VAN DER HALLEN, B.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Zo was Beatrijs van Nazareth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HERMAN, W.J. VEKEMAN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Hoezeer heeft God mij bemind (Beatrijs van Nazareth)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BEATRIJS VAN NAZARETH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Monastiek informatie nr.191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3,00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FAESEN, Rob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Beatrijs van Nazareth – bundel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4,00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BEATRIJS VAN NAZARETH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JOS HULS – Seven maniren van minne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12,00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BEATRIJS VAN NAZARETH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KLAAS BLIJLEVENS – 7 keer heilige minne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BEATRIJS VAN NAZARETH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Beatrijs van Nazareth – het mystieke proces en mystagogische implicaties,</w:t>
              <w:br/>
              <w:t>JOS HULS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/>
                <w:color w:val="000000"/>
                <w:lang w:eastAsia="nl-BE"/>
              </w:rPr>
              <w:t>20,00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EYKANS, Frans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lied van Beatrijs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4,00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WOLTERS, J.B.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alle tijden : Beatrijs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4,00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94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HELMAN, Albert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Seven manieren van minne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6,00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94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BEATRIJS VAN TIENEN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vroegste mystieke autobiografie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94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BEATRIJS VAN NAZARETH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Nazareth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94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94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HENDRIX, Guido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Iconografie van Portugal tot Polen – deel I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HENDRIX, Guido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Ontmoetingen met Lutgart van Tongeren – deel III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HENDRIX, Guido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Lutgart van Tongeren – deel V  - verschijningen uit het hiernamaals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HENDRIX, Guido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Lutgart van Tongeren – deel VI – Lutgarts jeugd en Benedictijnse periode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MIJLBEKE, A.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hinde van de Heer : het leven van Sint Lutgart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WATERSCHOOT, H.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verering van de H.Lutgart van Tongeren door de eeuwen heen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PUE, J.P.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Lutgard de Heilige 1182-1246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ROY, Alb. 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Heiligen van onze stam : Lutgardis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MC NAMARA, Jo Ann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Zusters ter strijde : 2000 jaar kloosterzusters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DOORNIK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vrouw die niet zweeg in de kerk : Caterina van Siena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i w:val="false"/>
                <w:iCs w:val="false"/>
                <w:color w:val="000000"/>
                <w:lang w:eastAsia="nl-BE"/>
              </w:rPr>
              <w:t>VAN DER PLANCKE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15 dagen bidden met Catharina van Siena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6 €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i w:val="false"/>
                <w:iCs w:val="false"/>
                <w:color w:val="000000"/>
                <w:lang w:eastAsia="nl-BE"/>
              </w:rPr>
              <w:t>MADDER, T.C.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Catharina van Siena en haar tijd : een kerklerares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0’DRISCOLL Mary O.P.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Catharina van Siena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7,00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KLIJSEN, Sjeff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Gods onderricht aan Catharina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ASSEMAT, Gilbert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Leven en spiritualiteit van Johanna van Frankrijk – God tot vreugde zijn 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GIRARD, André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Heilige Johanna van Frankrijk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CHITTISTEN, Joan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Het vuur moet branden 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JULIAN VAN NORWICH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Alles komt goed- Julian van Norwich ; visioenen(Valkenborgh)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JULIAN VAN NORWICH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Geborgen in plooien van liefde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7,00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JULIAN VAN NORWICH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Openbarynhe van Gods Minne 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7,00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SCHNEIDERS, Sandra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Selling all : Commitment, Consecrated Celibacy and Community in Catholic Religious Life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HILDEGARDE VON BINGEN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Ken de weg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HERTZKA, Gottfried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Hildegard von Bingen : zo geneest God : 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HERTZKA, Gottfried, Strehlow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Keukengeheimen van de Hildegard geneeskunde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14,00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DEN BERCKEN, Louis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universele geneeskunst van Hildegard von Bingen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10,00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MULDER, Etty 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Hildegard : een vrouwelijk genie in de late middeleeuwen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DEN BORRE, Lieve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Hildegarde von Bingen : medische en mystieke openbaringen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SCHILLING, Rita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Hildegarde von Bingen : bazuin van het levende licht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RIEDEL, Ingrid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Hildegard von Bingen : profetes van kosmische wijsheid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15,00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BOELAARS, Henri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Adriadnedraad van een monnik : een halve eeuw meditatieve omgang met Hildegard von Bingen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QUADFLIEG</w:t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Hildegard van Bingen- beeldverhaal</w:t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8,00</w:t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0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83" w:type="dxa"/>
            <w:tcBorders>
              <w:end w:val="single" w:sz="8" w:space="0" w:color="5B9BD5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6e5b5e"/>
    <w:pPr>
      <w:spacing w:before="0" w:after="160"/>
      <w:ind w:start="720"/>
      <w:contextualSpacing/>
    </w:pPr>
    <w:rPr/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LibreOffice/25.8.1.1$Windows_X86_64 LibreOffice_project/54047653041915e595ad4e45cccea684809c77b5</Application>
  <AppVersion>15.0000</AppVersion>
  <Pages>3</Pages>
  <Words>629</Words>
  <Characters>3381</Characters>
  <CharactersWithSpaces>3872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2020-12-19T10:34:00Z</dcterms:created>
  <dc:creator>sabine vervaet</dc:creator>
  <dc:description/>
  <dc:language>nl-BE</dc:language>
  <cp:lastModifiedBy/>
  <dcterms:modified xsi:type="dcterms:W3CDTF">2026-01-20T10:22:20Z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